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53B7" w14:textId="5243A9FE" w:rsidR="00F0477D" w:rsidRDefault="00F0477D" w:rsidP="00F0477D">
      <w:pPr>
        <w:spacing w:before="360" w:after="720" w:line="23" w:lineRule="atLeast"/>
        <w:jc w:val="center"/>
        <w:rPr>
          <w:b/>
          <w:sz w:val="32"/>
        </w:rPr>
      </w:pPr>
      <w:r>
        <w:rPr>
          <w:b/>
          <w:sz w:val="32"/>
        </w:rPr>
        <w:t>ZAPYTANIE OFERTOWE</w:t>
      </w:r>
      <w:r>
        <w:rPr>
          <w:b/>
          <w:sz w:val="32"/>
        </w:rPr>
        <w:br/>
        <w:t>Dotyczące zakupu i montażu paneli akustycznych w Poradni Psychologiczno-Pedagogicznej nr 19 ul. Lokajskiego 3</w:t>
      </w:r>
    </w:p>
    <w:p w14:paraId="08DD521D" w14:textId="77777777" w:rsidR="0031782B" w:rsidRDefault="0031782B" w:rsidP="00F0477D">
      <w:pPr>
        <w:spacing w:before="360" w:after="720" w:line="23" w:lineRule="atLeast"/>
        <w:jc w:val="center"/>
        <w:rPr>
          <w:b/>
          <w:sz w:val="32"/>
        </w:rPr>
      </w:pPr>
    </w:p>
    <w:p w14:paraId="1AEA53C6" w14:textId="77777777" w:rsidR="00F0477D" w:rsidRDefault="00F0477D" w:rsidP="00F0477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jc w:val="both"/>
        <w:rPr>
          <w:b/>
        </w:rPr>
      </w:pPr>
      <w:r>
        <w:rPr>
          <w:b/>
        </w:rPr>
        <w:t>NAZWA (FIRMA) ZAMAWIAJĄCEGO</w:t>
      </w:r>
    </w:p>
    <w:p w14:paraId="2A9C8090" w14:textId="77777777" w:rsidR="00F0477D" w:rsidRDefault="00F0477D" w:rsidP="00F0477D">
      <w:pPr>
        <w:pStyle w:val="Akapitzlist"/>
        <w:spacing w:after="0" w:line="23" w:lineRule="atLeast"/>
        <w:ind w:left="357"/>
        <w:jc w:val="both"/>
      </w:pPr>
      <w:r>
        <w:t>Nazwa:</w:t>
      </w:r>
      <w:r>
        <w:tab/>
      </w:r>
      <w:r>
        <w:tab/>
        <w:t>Poradnia Psychologiczno-Pedagogiczna nr 19</w:t>
      </w:r>
    </w:p>
    <w:p w14:paraId="50FCDF8A" w14:textId="77777777" w:rsidR="00F0477D" w:rsidRDefault="00F0477D" w:rsidP="00F0477D">
      <w:pPr>
        <w:pStyle w:val="Akapitzlist"/>
        <w:spacing w:after="0" w:line="23" w:lineRule="atLeast"/>
        <w:ind w:left="357"/>
        <w:jc w:val="both"/>
      </w:pPr>
      <w:r>
        <w:t>Adres:</w:t>
      </w:r>
      <w:r>
        <w:tab/>
      </w:r>
      <w:r>
        <w:tab/>
        <w:t>02-793 Warszawa, ul. Lokajskiego 3</w:t>
      </w:r>
    </w:p>
    <w:p w14:paraId="10189910" w14:textId="77777777" w:rsidR="00F0477D" w:rsidRDefault="00F0477D" w:rsidP="00F0477D">
      <w:pPr>
        <w:pStyle w:val="Akapitzlist"/>
        <w:spacing w:after="0" w:line="23" w:lineRule="atLeast"/>
        <w:ind w:left="357"/>
        <w:jc w:val="both"/>
      </w:pPr>
      <w:r>
        <w:t>Nr tel.:</w:t>
      </w:r>
      <w:r>
        <w:tab/>
      </w:r>
      <w:r>
        <w:tab/>
        <w:t>513 905 022</w:t>
      </w:r>
    </w:p>
    <w:p w14:paraId="1AB4ABD1" w14:textId="77777777" w:rsidR="00F0477D" w:rsidRDefault="00F0477D" w:rsidP="00F0477D">
      <w:pPr>
        <w:pStyle w:val="Akapitzlist"/>
        <w:spacing w:after="0" w:line="23" w:lineRule="atLeast"/>
        <w:ind w:left="357"/>
        <w:jc w:val="both"/>
      </w:pPr>
      <w:r>
        <w:t>E-mail.:</w:t>
      </w:r>
      <w:r>
        <w:tab/>
      </w:r>
      <w:r>
        <w:tab/>
        <w:t>ppp19@eduwarszawa.pl</w:t>
      </w:r>
    </w:p>
    <w:p w14:paraId="203042D3" w14:textId="77777777" w:rsidR="00F0477D" w:rsidRDefault="00F0477D" w:rsidP="00F0477D">
      <w:pPr>
        <w:pStyle w:val="Akapitzlist"/>
        <w:spacing w:after="0" w:line="23" w:lineRule="atLeast"/>
        <w:ind w:left="357"/>
        <w:jc w:val="both"/>
      </w:pPr>
      <w:r>
        <w:t xml:space="preserve">Strona internetowa: </w:t>
      </w:r>
      <w:r>
        <w:rPr>
          <w:rStyle w:val="Hipercze"/>
        </w:rPr>
        <w:t>https://ppp19.ursynow.warszawa.pl/</w:t>
      </w:r>
    </w:p>
    <w:p w14:paraId="76806095" w14:textId="77777777" w:rsidR="00F0477D" w:rsidRDefault="00F0477D" w:rsidP="00F0477D">
      <w:pPr>
        <w:shd w:val="clear" w:color="auto" w:fill="D9D9D9" w:themeFill="background1" w:themeFillShade="D9"/>
        <w:suppressAutoHyphens/>
        <w:spacing w:before="360" w:after="0"/>
        <w:jc w:val="both"/>
        <w:rPr>
          <w:b/>
        </w:rPr>
      </w:pPr>
      <w:r>
        <w:rPr>
          <w:b/>
        </w:rPr>
        <w:t>II TRYB UDZIELENIA ZAMÓWIENIA</w:t>
      </w:r>
    </w:p>
    <w:p w14:paraId="36061C5B" w14:textId="77777777" w:rsidR="00F0477D" w:rsidRDefault="00F0477D" w:rsidP="00F0477D">
      <w:pPr>
        <w:numPr>
          <w:ilvl w:val="2"/>
          <w:numId w:val="2"/>
        </w:numPr>
        <w:suppressAutoHyphens/>
        <w:spacing w:after="0"/>
        <w:contextualSpacing/>
        <w:jc w:val="both"/>
        <w:rPr>
          <w:b/>
        </w:rPr>
      </w:pPr>
      <w:r>
        <w:t>Postępowanie o udzielenie zamówienia publicznego prowadzone z wyłączeniem stosowania przepisów ustawy z dnia 11 września 2019 r. Prawo zamówień publicznych (Dz.U. z 2022 r., poz. 1710) w związku z art. 2 ust. 1. pkt 1 tejże ustawy.</w:t>
      </w:r>
    </w:p>
    <w:p w14:paraId="237A9C03" w14:textId="77777777" w:rsidR="00F0477D" w:rsidRDefault="00F0477D" w:rsidP="00F0477D">
      <w:pPr>
        <w:numPr>
          <w:ilvl w:val="2"/>
          <w:numId w:val="2"/>
        </w:numPr>
        <w:suppressAutoHyphens/>
        <w:spacing w:after="0"/>
        <w:contextualSpacing/>
        <w:jc w:val="both"/>
      </w:pPr>
      <w:r>
        <w:t>Zamawiający dopuszcza możliwość prowadzenia negocjacji w celu ulepszenia treści ofert niepodlegających odrzuceniu, które podlegają ocenie w ramach kryteriów oceny ofert. Po zakończeniu negocjacji Zamawiający zaprosi Wykonawców do składania ofert ostatecznych.</w:t>
      </w:r>
    </w:p>
    <w:p w14:paraId="31BFE779" w14:textId="77777777" w:rsidR="00F0477D" w:rsidRDefault="00F0477D" w:rsidP="00F0477D">
      <w:pPr>
        <w:shd w:val="clear" w:color="auto" w:fill="D9D9D9" w:themeFill="background1" w:themeFillShade="D9"/>
        <w:suppressAutoHyphens/>
        <w:spacing w:before="360" w:after="0"/>
        <w:jc w:val="both"/>
        <w:rPr>
          <w:b/>
        </w:rPr>
      </w:pPr>
      <w:r>
        <w:rPr>
          <w:b/>
        </w:rPr>
        <w:t>III OPIS PRZEDMIOTU ZAMÓWIENIA</w:t>
      </w:r>
    </w:p>
    <w:p w14:paraId="2A1FD244" w14:textId="77777777" w:rsidR="00F0477D" w:rsidRDefault="00F0477D" w:rsidP="00F0477D">
      <w:pPr>
        <w:numPr>
          <w:ilvl w:val="2"/>
          <w:numId w:val="3"/>
        </w:numPr>
        <w:suppressAutoHyphens/>
        <w:spacing w:after="0"/>
        <w:contextualSpacing/>
        <w:jc w:val="both"/>
      </w:pPr>
      <w:r>
        <w:t>Przedmiotem zamówienia jest adaptacja akustyczna w Poradni Psychologiczno-Pedagogicznej nr 19, ul. Lokajskiego 3, 02-793 Warszawa:</w:t>
      </w:r>
    </w:p>
    <w:p w14:paraId="21D25538" w14:textId="77777777" w:rsidR="00F0477D" w:rsidRDefault="00F0477D" w:rsidP="00F0477D">
      <w:pPr>
        <w:numPr>
          <w:ilvl w:val="3"/>
          <w:numId w:val="3"/>
        </w:numPr>
        <w:suppressAutoHyphens/>
        <w:spacing w:after="0"/>
        <w:contextualSpacing/>
        <w:jc w:val="both"/>
      </w:pPr>
      <w:r>
        <w:t>korytarz dolny</w:t>
      </w:r>
    </w:p>
    <w:p w14:paraId="1D1C0902" w14:textId="77777777" w:rsidR="00F0477D" w:rsidRDefault="00F0477D" w:rsidP="00F0477D">
      <w:pPr>
        <w:numPr>
          <w:ilvl w:val="3"/>
          <w:numId w:val="3"/>
        </w:numPr>
        <w:suppressAutoHyphens/>
        <w:spacing w:after="0"/>
        <w:contextualSpacing/>
        <w:jc w:val="both"/>
      </w:pPr>
      <w:r>
        <w:t>sala ruchowa</w:t>
      </w:r>
    </w:p>
    <w:p w14:paraId="57924607" w14:textId="77777777" w:rsidR="00F0477D" w:rsidRDefault="00F0477D" w:rsidP="00F0477D">
      <w:pPr>
        <w:numPr>
          <w:ilvl w:val="3"/>
          <w:numId w:val="3"/>
        </w:numPr>
        <w:suppressAutoHyphens/>
        <w:spacing w:after="0"/>
        <w:contextualSpacing/>
        <w:jc w:val="both"/>
      </w:pPr>
      <w:r>
        <w:t>gabinet nr 12</w:t>
      </w:r>
    </w:p>
    <w:p w14:paraId="21954C24" w14:textId="220BF607" w:rsidR="00F0477D" w:rsidRDefault="00F0477D" w:rsidP="00F0477D">
      <w:pPr>
        <w:numPr>
          <w:ilvl w:val="2"/>
          <w:numId w:val="3"/>
        </w:numPr>
        <w:suppressAutoHyphens/>
        <w:spacing w:after="0"/>
        <w:contextualSpacing/>
        <w:jc w:val="both"/>
      </w:pPr>
      <w:r>
        <w:t xml:space="preserve">Szczegółowy opis przedmiotu zamówienia znajduje się w Przedmiarze prac adaptacyjnych w budynku przy ul. Lokajskiego 3, który stanowi załącznik nr </w:t>
      </w:r>
      <w:r w:rsidR="00703A30">
        <w:t>3</w:t>
      </w:r>
      <w:r>
        <w:t xml:space="preserve"> do Zapytania ofertowego;</w:t>
      </w:r>
    </w:p>
    <w:p w14:paraId="7796D37F" w14:textId="77777777" w:rsidR="00F0477D" w:rsidRDefault="00F0477D" w:rsidP="00F0477D">
      <w:pPr>
        <w:numPr>
          <w:ilvl w:val="2"/>
          <w:numId w:val="3"/>
        </w:numPr>
        <w:suppressAutoHyphens/>
        <w:spacing w:after="0"/>
        <w:contextualSpacing/>
        <w:jc w:val="both"/>
      </w:pPr>
      <w:r>
        <w:t>Wykonawca dostarczy niezbędne materiały budowlane potrzebne do wykonania prac wskazanych w przedmiarach</w:t>
      </w:r>
    </w:p>
    <w:p w14:paraId="703CA7D8" w14:textId="77777777" w:rsidR="00F0477D" w:rsidRDefault="00F0477D" w:rsidP="00F0477D">
      <w:pPr>
        <w:numPr>
          <w:ilvl w:val="2"/>
          <w:numId w:val="3"/>
        </w:numPr>
        <w:suppressAutoHyphens/>
        <w:spacing w:after="0"/>
        <w:contextualSpacing/>
        <w:jc w:val="both"/>
      </w:pPr>
      <w:r>
        <w:t>Zamawiający po wyborze najkorzystniejszej oferty, a przed podpisaniem umowy, umożliwi wybranemu Wykonawcy, na jego koszt, dokonanie pomiarów z natury pomieszczeń, w których przeprowadzane będą prace adaptacyjne w celu precyzyjnego określenia powierzchni wskazanych w przedmiarach, i naniesienia stosownych poprawek do treści opisu przedmiotu umowy.</w:t>
      </w:r>
    </w:p>
    <w:p w14:paraId="61FFFB48" w14:textId="77777777" w:rsidR="00F0477D" w:rsidRDefault="00F0477D" w:rsidP="00F0477D">
      <w:pPr>
        <w:numPr>
          <w:ilvl w:val="2"/>
          <w:numId w:val="3"/>
        </w:numPr>
        <w:suppressAutoHyphens/>
        <w:contextualSpacing/>
        <w:jc w:val="both"/>
      </w:pPr>
      <w:r>
        <w:t>Wykonawca zobowiązuje się do wszelkich czynności związanych z utylizacją zdemontowanych materiałów i odpadów.</w:t>
      </w:r>
    </w:p>
    <w:p w14:paraId="3457F610" w14:textId="77777777" w:rsidR="00F0477D" w:rsidRDefault="00F0477D" w:rsidP="00F0477D">
      <w:pPr>
        <w:numPr>
          <w:ilvl w:val="2"/>
          <w:numId w:val="3"/>
        </w:numPr>
        <w:suppressAutoHyphens/>
        <w:contextualSpacing/>
        <w:jc w:val="both"/>
      </w:pPr>
      <w:r>
        <w:t>Wykonawca udzieli Zamawiającemu gwarancji na okres nie krótszy niż 36 miesięcy na wykonany przedmiot umowy liczonej od dnia podpisania przez Zamawiającego protokołu odbioru bez zastrzeżeń przedmiotu zamówienia.</w:t>
      </w:r>
    </w:p>
    <w:p w14:paraId="2D8795C9" w14:textId="77777777" w:rsidR="00F0477D" w:rsidRDefault="00F0477D" w:rsidP="00F0477D">
      <w:pPr>
        <w:numPr>
          <w:ilvl w:val="2"/>
          <w:numId w:val="3"/>
        </w:numPr>
        <w:suppressAutoHyphens/>
        <w:spacing w:after="0"/>
        <w:contextualSpacing/>
        <w:jc w:val="both"/>
      </w:pPr>
      <w:r>
        <w:lastRenderedPageBreak/>
        <w:t>Zamawiający dopuszcza składanie ofert równoważnych. Zamawiający dopuszcza zastosowanie produktów równoważnych tzn. nie gorszych w zakresie minimalnych wymagań.</w:t>
      </w:r>
    </w:p>
    <w:p w14:paraId="458A0EEB" w14:textId="039B20D1" w:rsidR="00F0477D" w:rsidRDefault="00F0477D" w:rsidP="00F0477D">
      <w:pPr>
        <w:numPr>
          <w:ilvl w:val="2"/>
          <w:numId w:val="3"/>
        </w:numPr>
        <w:suppressAutoHyphens/>
        <w:spacing w:after="0"/>
        <w:contextualSpacing/>
        <w:jc w:val="both"/>
        <w:rPr>
          <w:rFonts w:cstheme="minorHAnsi"/>
          <w:color w:val="FF0000"/>
        </w:rPr>
      </w:pPr>
      <w:r>
        <w:t>Przedmiot zamówienia określają kod CPV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 nazwa roboty</w:t>
      </w:r>
      <w:r>
        <w:rPr>
          <w:rFonts w:cstheme="minorHAnsi"/>
          <w:b/>
        </w:rPr>
        <w:t xml:space="preserve"> </w:t>
      </w:r>
      <w:r w:rsidR="0080584D">
        <w:rPr>
          <w:rFonts w:ascii="Calibri" w:hAnsi="Calibri" w:cs="Calibri"/>
          <w:color w:val="201F1E"/>
          <w:shd w:val="clear" w:color="auto" w:fill="FFFFFF"/>
        </w:rPr>
        <w:t>w zakresie adaptacji akustycznej z użyciem materiałów dźwiękochłonnych obniżających czas pogłosu</w:t>
      </w:r>
      <w:r w:rsidR="0080584D">
        <w:rPr>
          <w:rFonts w:cstheme="minorHAnsi"/>
          <w:b/>
        </w:rPr>
        <w:t xml:space="preserve"> </w:t>
      </w:r>
      <w:r w:rsidRPr="0080584D">
        <w:rPr>
          <w:rFonts w:ascii="Times New Roman" w:hAnsi="Times New Roman" w:cs="Times New Roman"/>
          <w:b/>
        </w:rPr>
        <w:t xml:space="preserve"> </w:t>
      </w:r>
      <w:r w:rsidR="0080584D" w:rsidRPr="0080584D">
        <w:rPr>
          <w:rFonts w:ascii="Times New Roman" w:hAnsi="Times New Roman" w:cs="Times New Roman"/>
          <w:b/>
          <w:bCs/>
          <w:u w:val="single"/>
          <w:bdr w:val="none" w:sz="0" w:space="0" w:color="auto" w:frame="1"/>
          <w:shd w:val="clear" w:color="auto" w:fill="EEEEEE"/>
        </w:rPr>
        <w:t>45323000-7</w:t>
      </w:r>
    </w:p>
    <w:p w14:paraId="5C6B3179" w14:textId="77777777" w:rsidR="00F0477D" w:rsidRDefault="00F0477D" w:rsidP="00F0477D">
      <w:pPr>
        <w:numPr>
          <w:ilvl w:val="2"/>
          <w:numId w:val="3"/>
        </w:numPr>
        <w:suppressAutoHyphens/>
        <w:spacing w:after="0"/>
        <w:contextualSpacing/>
        <w:jc w:val="both"/>
        <w:rPr>
          <w:color w:val="FF0000"/>
        </w:rPr>
      </w:pPr>
      <w:r>
        <w:t>Zamawiający nie dopuszcza składania ofert częściowych, Wykonawca może złożyć tylko jedną ofertę na całość zamówienia.</w:t>
      </w:r>
    </w:p>
    <w:p w14:paraId="1755E293" w14:textId="77777777" w:rsidR="00F0477D" w:rsidRDefault="00F0477D" w:rsidP="00F0477D">
      <w:pPr>
        <w:shd w:val="clear" w:color="auto" w:fill="D9D9D9" w:themeFill="background1" w:themeFillShade="D9"/>
        <w:spacing w:before="360" w:after="0"/>
        <w:jc w:val="both"/>
        <w:rPr>
          <w:b/>
        </w:rPr>
      </w:pPr>
      <w:r>
        <w:rPr>
          <w:b/>
        </w:rPr>
        <w:t>IV TERMIN WYKONANIA ZAMÓWIENIA</w:t>
      </w:r>
    </w:p>
    <w:p w14:paraId="54E1DF4B" w14:textId="77777777" w:rsidR="00F0477D" w:rsidRDefault="00F0477D" w:rsidP="00F0477D">
      <w:pPr>
        <w:suppressAutoHyphens/>
        <w:spacing w:after="0"/>
        <w:ind w:left="357"/>
        <w:contextualSpacing/>
        <w:jc w:val="both"/>
        <w:rPr>
          <w:b/>
        </w:rPr>
      </w:pPr>
      <w:r>
        <w:t>Wymagany termin realizacji zamówienie – 14 dni od dnia podpisania umowy.</w:t>
      </w:r>
    </w:p>
    <w:p w14:paraId="78401B6E" w14:textId="77777777" w:rsidR="00F0477D" w:rsidRDefault="00F0477D" w:rsidP="00F0477D">
      <w:pPr>
        <w:shd w:val="clear" w:color="auto" w:fill="D9D9D9" w:themeFill="background1" w:themeFillShade="D9"/>
        <w:spacing w:before="360" w:after="0"/>
        <w:jc w:val="both"/>
        <w:rPr>
          <w:b/>
        </w:rPr>
      </w:pPr>
      <w:r>
        <w:rPr>
          <w:b/>
        </w:rPr>
        <w:t>V WARUNKI UDZIAŁU W POSTĘPOWANIU ORAZ PODSTAWY WYKLUCZENIA WYKONAWCY</w:t>
      </w:r>
      <w:r>
        <w:rPr>
          <w:b/>
        </w:rPr>
        <w:br/>
        <w:t>Z POSTĘPOWANIA</w:t>
      </w:r>
    </w:p>
    <w:p w14:paraId="4E694D56" w14:textId="7D856FA3" w:rsidR="00F0477D" w:rsidRDefault="00F0477D" w:rsidP="00F0477D">
      <w:pPr>
        <w:spacing w:after="0"/>
        <w:ind w:left="357"/>
        <w:contextualSpacing/>
        <w:jc w:val="both"/>
      </w:pPr>
      <w:r>
        <w:t>O udzielenie zamówienia może ubiegać się Wykonawca, który wykaże, że w okresie ostatnich trzech lat przed upływem terminu składania ofert należycie wykonał co najmniej jedno zamówienie na roboty tożsame z przedmiotem niniejszego zamówienia o wartości brutto nie mniejszej niż</w:t>
      </w:r>
      <w:r>
        <w:br/>
        <w:t>10 000 zł brutto. wraz z podaniem ich wartości, przedmiotu, dat wykonania</w:t>
      </w:r>
      <w:r>
        <w:br/>
        <w:t>i podmiotów, na rzecz których usługi zostały wykonane, oraz załączeniem dowodów określających czy te usługi zostały wykonane lub są wykonywane należycie, przy czym dowodami, o których mowa, są referencje bądź inne dokumenty np. faktura VAT,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652AD6C1" w14:textId="77777777" w:rsidR="00703A30" w:rsidRPr="00C87BB9" w:rsidRDefault="00703A30" w:rsidP="00703A30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PRZYGOTOWANIE OFERTY ORAZ WYKAZ OŚWIADCZEŃ I DOKUMENTÓW</w:t>
      </w:r>
    </w:p>
    <w:p w14:paraId="377D9D5B" w14:textId="77777777" w:rsidR="00703A30" w:rsidRPr="00C87BB9" w:rsidRDefault="00703A30" w:rsidP="00703A30">
      <w:pPr>
        <w:pStyle w:val="Akapitzlist"/>
        <w:numPr>
          <w:ilvl w:val="1"/>
          <w:numId w:val="9"/>
        </w:numPr>
        <w:spacing w:after="0"/>
        <w:jc w:val="both"/>
        <w:rPr>
          <w:b/>
        </w:rPr>
      </w:pPr>
      <w:r w:rsidRPr="00C87BB9">
        <w:rPr>
          <w:b/>
        </w:rPr>
        <w:t>OŚWIADCZENIA I DOKUMENTY SKŁADANE WRAZ Z OFERTĄ</w:t>
      </w:r>
    </w:p>
    <w:p w14:paraId="690A8479" w14:textId="5EDFD581" w:rsidR="00703A30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C87BB9">
        <w:t xml:space="preserve">Wypełniony Formularz oferty zgodny ze wzorem stanowiącym Załącznik nr </w:t>
      </w:r>
      <w:r>
        <w:t xml:space="preserve">1 </w:t>
      </w:r>
      <w:r w:rsidRPr="00C87BB9">
        <w:t>do Zapytania.</w:t>
      </w:r>
    </w:p>
    <w:p w14:paraId="5388FCAF" w14:textId="77777777" w:rsidR="00703A30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C87BB9">
        <w:t xml:space="preserve">Wypełniony Formularz cenowy zgodny ze wzorem stanowiącym Załącznik nr </w:t>
      </w:r>
      <w:r>
        <w:t>2</w:t>
      </w:r>
      <w:r w:rsidRPr="00C87BB9">
        <w:t xml:space="preserve"> do Zapytania.</w:t>
      </w:r>
    </w:p>
    <w:p w14:paraId="4952A089" w14:textId="77777777" w:rsidR="00703A30" w:rsidRPr="00C87BB9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C87BB9">
        <w:t>Upoważnienie (pełnomocnictwo) w przypadku podpisywania oferty przez osobę, której umocowanie nie wynika z dokumentu rejestracyjnego.</w:t>
      </w:r>
    </w:p>
    <w:p w14:paraId="01E5953E" w14:textId="77777777" w:rsidR="00703A30" w:rsidRPr="006736BB" w:rsidRDefault="00703A30" w:rsidP="00703A30">
      <w:pPr>
        <w:pStyle w:val="Akapitzlist"/>
        <w:numPr>
          <w:ilvl w:val="1"/>
          <w:numId w:val="9"/>
        </w:numPr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OŚWIADCZENIA I DOKUMENTY SKŁADANE PRZEZ WYKONAWCĘ NA WEZWANIE ZAMAWIAJĄCEGO</w:t>
      </w:r>
    </w:p>
    <w:p w14:paraId="5F9B2D75" w14:textId="77777777" w:rsidR="00703A30" w:rsidRPr="00C87BB9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>
        <w:t>Dokumenty potwierdzające należyte wykonanie co najmniej jednego zamówienia, o których mowa w Rozdziale V.</w:t>
      </w:r>
    </w:p>
    <w:p w14:paraId="5F2BDBB6" w14:textId="77777777" w:rsidR="00703A30" w:rsidRPr="00C87BB9" w:rsidRDefault="00703A30" w:rsidP="00703A30">
      <w:pPr>
        <w:pStyle w:val="Akapitzlist"/>
        <w:numPr>
          <w:ilvl w:val="1"/>
          <w:numId w:val="9"/>
        </w:numPr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OPIS SPOSOBU PRZYGOTOWANIA OFERTY</w:t>
      </w:r>
    </w:p>
    <w:p w14:paraId="3098CFC7" w14:textId="77777777" w:rsidR="00703A30" w:rsidRPr="00C87BB9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C87BB9">
        <w:t>Ofertę, której treść musi odpowiadać treści Zapytaniu Ofertowego, należy sporządzić</w:t>
      </w:r>
      <w:r>
        <w:t xml:space="preserve"> </w:t>
      </w:r>
      <w:r w:rsidRPr="00C87BB9">
        <w:t>w języku polskim.</w:t>
      </w:r>
    </w:p>
    <w:p w14:paraId="7167C607" w14:textId="77777777" w:rsidR="00703A30" w:rsidRPr="00C87BB9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C87BB9">
        <w:t>Wykonawca składa ofertę wraz z wymaganymi oświadczeniami i dokumentami.</w:t>
      </w:r>
    </w:p>
    <w:p w14:paraId="3524F859" w14:textId="77777777" w:rsidR="00703A30" w:rsidRPr="00C87BB9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C87BB9">
        <w:t>Wykonawca może złożyć jedną ofertę.</w:t>
      </w:r>
    </w:p>
    <w:p w14:paraId="66584745" w14:textId="77777777" w:rsidR="00703A30" w:rsidRPr="00C87BB9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C87BB9">
        <w:t>Wykonawca może przed upływem terminu składania ofert zmienić lub wycofać ofertę.</w:t>
      </w:r>
    </w:p>
    <w:p w14:paraId="63B31335" w14:textId="77777777" w:rsidR="00703A30" w:rsidRPr="00C87BB9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C87BB9">
        <w:t>Wykonawcy ponoszą wszelkie koszty związane z przygotowaniem i złożeniem oferty niezależnie od wyniku postępowania o udzielenie zamówienia.</w:t>
      </w:r>
    </w:p>
    <w:p w14:paraId="67F4BCBB" w14:textId="77777777" w:rsidR="00703A30" w:rsidRPr="00C87BB9" w:rsidRDefault="00703A30" w:rsidP="00703A30">
      <w:pPr>
        <w:pStyle w:val="Akapitzlist"/>
        <w:numPr>
          <w:ilvl w:val="1"/>
          <w:numId w:val="9"/>
        </w:numPr>
        <w:spacing w:before="360" w:after="0"/>
        <w:contextualSpacing w:val="0"/>
        <w:jc w:val="both"/>
        <w:rPr>
          <w:b/>
        </w:rPr>
      </w:pPr>
      <w:r w:rsidRPr="00C87BB9">
        <w:rPr>
          <w:b/>
        </w:rPr>
        <w:lastRenderedPageBreak/>
        <w:t>FORMA DOKUMENTÓW W OFERCIE</w:t>
      </w:r>
    </w:p>
    <w:p w14:paraId="32F94207" w14:textId="4F60FE0E" w:rsidR="00703A30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A10526">
        <w:t>Dokumenty i oświadczenia, o których mowa w Części A</w:t>
      </w:r>
      <w:r>
        <w:t xml:space="preserve"> i B</w:t>
      </w:r>
      <w:r w:rsidRPr="00A10526">
        <w:t xml:space="preserve"> składane są w postaci elektronicznego odwzorowania dokumentów podpisanego w postaci papierowej, </w:t>
      </w:r>
      <w:r>
        <w:t xml:space="preserve">tj. </w:t>
      </w:r>
      <w:r w:rsidRPr="00A10526">
        <w:t xml:space="preserve">skanu podpisanego </w:t>
      </w:r>
      <w:r>
        <w:t>dokumentu</w:t>
      </w:r>
      <w:r w:rsidRPr="00C87BB9">
        <w:t>.</w:t>
      </w:r>
    </w:p>
    <w:p w14:paraId="1F66D632" w14:textId="77777777" w:rsidR="00703A30" w:rsidRPr="00C87BB9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265E66">
        <w:t>Zamawiający zastrzega możliwość do wezwania wyk</w:t>
      </w:r>
      <w:r>
        <w:t>onawcy udostępnienia oryginałów</w:t>
      </w:r>
      <w:r>
        <w:br/>
      </w:r>
      <w:r w:rsidRPr="00265E66">
        <w:t>w terminie wskazanym przez zamawiającego.</w:t>
      </w:r>
    </w:p>
    <w:p w14:paraId="0318B029" w14:textId="7AF98EF8" w:rsidR="00703A30" w:rsidRDefault="00703A30" w:rsidP="00703A30">
      <w:pPr>
        <w:pStyle w:val="Akapitzlist"/>
        <w:numPr>
          <w:ilvl w:val="2"/>
          <w:numId w:val="9"/>
        </w:numPr>
        <w:spacing w:after="0"/>
        <w:jc w:val="both"/>
      </w:pPr>
      <w:r w:rsidRPr="00C87BB9">
        <w:t>Dokumenty sporządzone w języku obcym muszą zostać złożone wraz z tłumaczeniem na język polski.</w:t>
      </w:r>
    </w:p>
    <w:p w14:paraId="38C8B82E" w14:textId="3906AC91" w:rsidR="00F0477D" w:rsidRDefault="00F0477D" w:rsidP="00F0477D">
      <w:pPr>
        <w:shd w:val="clear" w:color="auto" w:fill="D9D9D9" w:themeFill="background1" w:themeFillShade="D9"/>
        <w:suppressAutoHyphens/>
        <w:spacing w:before="360" w:after="0"/>
        <w:jc w:val="both"/>
        <w:rPr>
          <w:b/>
        </w:rPr>
      </w:pPr>
      <w:r>
        <w:rPr>
          <w:b/>
        </w:rPr>
        <w:t>VI</w:t>
      </w:r>
      <w:r w:rsidR="00703A30">
        <w:rPr>
          <w:b/>
        </w:rPr>
        <w:t>I</w:t>
      </w:r>
      <w:r>
        <w:rPr>
          <w:b/>
        </w:rPr>
        <w:t xml:space="preserve"> SPOSÓB POROZUMIEWANIA SIĘ Z WYKONAWCAMI</w:t>
      </w:r>
    </w:p>
    <w:p w14:paraId="074E91AF" w14:textId="77777777" w:rsidR="00F0477D" w:rsidRDefault="00F0477D" w:rsidP="00F0477D">
      <w:pPr>
        <w:suppressAutoHyphens/>
        <w:spacing w:after="0"/>
        <w:ind w:left="357"/>
        <w:contextualSpacing/>
        <w:jc w:val="both"/>
      </w:pPr>
      <w:r>
        <w:t xml:space="preserve">W przedmiotowym postępowaniu o udzielenie zamówienia komunikacja między Zamawiającym a Wykonawcami odbywa się przy użyciu środków komunikacji elektronicznej w formie wiadomości mailowej. Adres mailowy zamawiającego: </w:t>
      </w:r>
      <w:r>
        <w:rPr>
          <w:color w:val="0563C1" w:themeColor="hyperlink"/>
          <w:u w:val="single"/>
        </w:rPr>
        <w:t>ppp19@eduwarszawa.pl</w:t>
      </w:r>
    </w:p>
    <w:p w14:paraId="6C37994C" w14:textId="3D699223" w:rsidR="00F0477D" w:rsidRDefault="00F0477D" w:rsidP="00F0477D">
      <w:pPr>
        <w:shd w:val="clear" w:color="auto" w:fill="D9D9D9" w:themeFill="background1" w:themeFillShade="D9"/>
        <w:suppressAutoHyphens/>
        <w:spacing w:before="360" w:after="0"/>
        <w:jc w:val="both"/>
        <w:rPr>
          <w:b/>
        </w:rPr>
      </w:pPr>
      <w:r>
        <w:rPr>
          <w:b/>
        </w:rPr>
        <w:t>V</w:t>
      </w:r>
      <w:r w:rsidR="00703A30">
        <w:rPr>
          <w:b/>
        </w:rPr>
        <w:t>III</w:t>
      </w:r>
      <w:r>
        <w:rPr>
          <w:b/>
        </w:rPr>
        <w:t xml:space="preserve"> TERMIN ZWIĄZANIA OFERTĄ</w:t>
      </w:r>
    </w:p>
    <w:p w14:paraId="2C00F7B0" w14:textId="77777777" w:rsidR="00F0477D" w:rsidRDefault="00F0477D" w:rsidP="00F0477D">
      <w:pPr>
        <w:numPr>
          <w:ilvl w:val="2"/>
          <w:numId w:val="4"/>
        </w:numPr>
        <w:suppressAutoHyphens/>
        <w:spacing w:after="0"/>
        <w:contextualSpacing/>
        <w:jc w:val="both"/>
      </w:pPr>
      <w:r>
        <w:t>Wykonawcy są związani ofertą przez okres 30 dni.</w:t>
      </w:r>
    </w:p>
    <w:p w14:paraId="3C2AF72D" w14:textId="77777777" w:rsidR="00F0477D" w:rsidRDefault="00F0477D" w:rsidP="00F0477D">
      <w:pPr>
        <w:numPr>
          <w:ilvl w:val="2"/>
          <w:numId w:val="4"/>
        </w:numPr>
        <w:suppressAutoHyphens/>
        <w:spacing w:after="0"/>
        <w:contextualSpacing/>
        <w:jc w:val="both"/>
      </w:pPr>
      <w:r>
        <w:t>Bieg terminu rozpoczyna się wraz z upływem terminu składania ofert.</w:t>
      </w:r>
    </w:p>
    <w:p w14:paraId="575943D3" w14:textId="4D682F71" w:rsidR="00F0477D" w:rsidRDefault="00703A30" w:rsidP="00F0477D">
      <w:pPr>
        <w:shd w:val="clear" w:color="auto" w:fill="D9D9D9" w:themeFill="background1" w:themeFillShade="D9"/>
        <w:suppressAutoHyphens/>
        <w:spacing w:before="360" w:after="0"/>
        <w:jc w:val="both"/>
        <w:rPr>
          <w:b/>
        </w:rPr>
      </w:pPr>
      <w:r>
        <w:rPr>
          <w:b/>
        </w:rPr>
        <w:t>IX</w:t>
      </w:r>
      <w:r w:rsidR="00F0477D">
        <w:rPr>
          <w:b/>
        </w:rPr>
        <w:t xml:space="preserve"> TAJEMNICA PRZEDSIĘBIORSTWA</w:t>
      </w:r>
    </w:p>
    <w:p w14:paraId="168BE4A0" w14:textId="77777777" w:rsidR="00F0477D" w:rsidRDefault="00F0477D" w:rsidP="00F0477D">
      <w:pPr>
        <w:suppressAutoHyphens/>
        <w:spacing w:after="0"/>
        <w:ind w:left="357"/>
        <w:contextualSpacing/>
        <w:jc w:val="both"/>
      </w:pPr>
      <w:r>
        <w:rPr>
          <w:bCs/>
        </w:rPr>
        <w:t>Wykonawca, nie później niż w terminie składania ofert, powinien wskazać w sposób nie budzący wątpliwości, które informacje stanowią tajemnicę przedsiębiorstwa oraz powinien zastrzec, że nie mogą być udostępniane. Wykonawca powinien również wykazać, nie później niż w terminie składania ofert, że zastrzeżone informacje stanowią tajemnicę przedsiębiorstwa w rozumieniu przepisów art. 11 ust. 4 ustawy z dnia 16 kwietnia 1993 r. o zwalczaniu nieuczciwej konkurencji (Dz. U. z 2019 r. poz. 1010 ze zm.).</w:t>
      </w:r>
    </w:p>
    <w:p w14:paraId="0FCE81FB" w14:textId="2289D301" w:rsidR="00F0477D" w:rsidRDefault="00703A30" w:rsidP="00F0477D">
      <w:pPr>
        <w:shd w:val="clear" w:color="auto" w:fill="D9D9D9" w:themeFill="background1" w:themeFillShade="D9"/>
        <w:suppressAutoHyphens/>
        <w:spacing w:before="360" w:after="0"/>
        <w:jc w:val="both"/>
        <w:rPr>
          <w:b/>
        </w:rPr>
      </w:pPr>
      <w:r>
        <w:rPr>
          <w:b/>
        </w:rPr>
        <w:t>X</w:t>
      </w:r>
      <w:r w:rsidR="00F0477D">
        <w:rPr>
          <w:b/>
        </w:rPr>
        <w:t xml:space="preserve"> MIEJSCE ORAZ TERMIN SKŁADANIA OFERT</w:t>
      </w:r>
    </w:p>
    <w:p w14:paraId="005D21FA" w14:textId="77777777" w:rsidR="00F0477D" w:rsidRDefault="00F0477D" w:rsidP="00F0477D">
      <w:pPr>
        <w:numPr>
          <w:ilvl w:val="2"/>
          <w:numId w:val="5"/>
        </w:numPr>
        <w:suppressAutoHyphens/>
        <w:spacing w:after="0"/>
        <w:contextualSpacing/>
        <w:jc w:val="both"/>
      </w:pPr>
      <w:bookmarkStart w:id="0" w:name="_Hlk107576629"/>
      <w:r>
        <w:t>Ofertę wraz z wymaganymi oświadczeniami i dokumentami oraz ewentualnymi załącznikami należy przesłać na e-maila:  ppp19@eduwarszawa.pl</w:t>
      </w:r>
    </w:p>
    <w:p w14:paraId="0FED123F" w14:textId="77777777" w:rsidR="00F0477D" w:rsidRDefault="00F0477D" w:rsidP="00F0477D">
      <w:pPr>
        <w:numPr>
          <w:ilvl w:val="2"/>
          <w:numId w:val="5"/>
        </w:numPr>
        <w:suppressAutoHyphens/>
        <w:spacing w:after="0"/>
        <w:contextualSpacing/>
        <w:jc w:val="both"/>
      </w:pPr>
      <w:r>
        <w:rPr>
          <w:bCs/>
        </w:rPr>
        <w:t xml:space="preserve">Termin składania </w:t>
      </w:r>
      <w:bookmarkEnd w:id="0"/>
      <w:r>
        <w:rPr>
          <w:bCs/>
        </w:rPr>
        <w:t>ofert upływa dnia 31.10.2022 r. o godz. 10:00.</w:t>
      </w:r>
      <w:r>
        <w:t xml:space="preserve"> Oferty złożone po tym terminie zostaną odrzucone.</w:t>
      </w:r>
    </w:p>
    <w:p w14:paraId="14E1A4A0" w14:textId="4B7FC470" w:rsidR="00F0477D" w:rsidRDefault="00703A30" w:rsidP="00F0477D">
      <w:pPr>
        <w:shd w:val="clear" w:color="auto" w:fill="D9D9D9" w:themeFill="background1" w:themeFillShade="D9"/>
        <w:suppressAutoHyphens/>
        <w:spacing w:before="360" w:after="0"/>
        <w:jc w:val="both"/>
      </w:pPr>
      <w:r>
        <w:rPr>
          <w:b/>
        </w:rPr>
        <w:t>X</w:t>
      </w:r>
      <w:r w:rsidR="00F0477D">
        <w:rPr>
          <w:b/>
        </w:rPr>
        <w:t>I OPIS SPOSOBU OBLICZANIA CENY</w:t>
      </w:r>
    </w:p>
    <w:p w14:paraId="2F7556A3" w14:textId="77777777" w:rsidR="00F0477D" w:rsidRDefault="00F0477D" w:rsidP="00F0477D">
      <w:pPr>
        <w:numPr>
          <w:ilvl w:val="2"/>
          <w:numId w:val="6"/>
        </w:numPr>
        <w:suppressAutoHyphens/>
        <w:spacing w:after="0"/>
        <w:contextualSpacing/>
        <w:jc w:val="both"/>
      </w:pPr>
      <w:r>
        <w:t>Kwoty wpisane w Formularzu oferty, którego wzór stanowi załącznik nr 1 Zapytania ofertowego, muszą odpowiadać kwotom wynikającym z załączonego do oferty Formularza cenowego, którego wzór stanowi załącznik nr 2 do Zapytania ofertowego. W przypadku rozbieżności między kwotami wpisanymi w Formularzu oferty a Formularzu cenowym, za obowiązujące uznane zostaną kwoty wynikające z Formularza cenowego.</w:t>
      </w:r>
    </w:p>
    <w:p w14:paraId="4389864F" w14:textId="77777777" w:rsidR="00F0477D" w:rsidRDefault="00F0477D" w:rsidP="00F0477D">
      <w:pPr>
        <w:numPr>
          <w:ilvl w:val="2"/>
          <w:numId w:val="6"/>
        </w:numPr>
        <w:suppressAutoHyphens/>
        <w:spacing w:after="0"/>
        <w:contextualSpacing/>
        <w:jc w:val="both"/>
      </w:pPr>
      <w:r>
        <w:t>Rozliczenia pomiędzy Zamawiającym, a Wykonawcą dokonywane będą w złotych polskich.</w:t>
      </w:r>
    </w:p>
    <w:p w14:paraId="0DF2619D" w14:textId="260065A5" w:rsidR="00F0477D" w:rsidRDefault="00F0477D" w:rsidP="00F0477D">
      <w:pPr>
        <w:shd w:val="clear" w:color="auto" w:fill="D9D9D9" w:themeFill="background1" w:themeFillShade="D9"/>
        <w:suppressAutoHyphens/>
        <w:spacing w:before="360" w:after="0"/>
        <w:jc w:val="both"/>
      </w:pPr>
      <w:r>
        <w:rPr>
          <w:b/>
        </w:rPr>
        <w:t>X</w:t>
      </w:r>
      <w:r w:rsidR="00703A30">
        <w:rPr>
          <w:b/>
        </w:rPr>
        <w:t>II</w:t>
      </w:r>
      <w:r>
        <w:rPr>
          <w:b/>
        </w:rPr>
        <w:t xml:space="preserve"> OPIS KRYTERIÓW, KTÓRYMI ZAMAWIAJĄCY BĘDZIE SIĘ KIEROWAŁ PRZY WYBORZE OFERTY, WRAZ Z PODANIEM WAG TYCH KRYTERIÓW I SPOSOBU OCENY OFERT</w:t>
      </w:r>
    </w:p>
    <w:p w14:paraId="26978081" w14:textId="77777777" w:rsidR="00F0477D" w:rsidRDefault="00F0477D" w:rsidP="00F0477D">
      <w:pPr>
        <w:numPr>
          <w:ilvl w:val="2"/>
          <w:numId w:val="7"/>
        </w:numPr>
        <w:suppressAutoHyphens/>
        <w:spacing w:after="0"/>
        <w:contextualSpacing/>
        <w:jc w:val="both"/>
      </w:pPr>
      <w:r>
        <w:lastRenderedPageBreak/>
        <w:t>W celu wyboru najkorzystniejszej oferty we wszystkich częściach zamówienia Zamawiający przyjął następujące kryteria przypisując im odpowiednio wagi procentowe:</w:t>
      </w:r>
    </w:p>
    <w:p w14:paraId="1D299EBF" w14:textId="77777777" w:rsidR="00F0477D" w:rsidRDefault="00F0477D" w:rsidP="00F0477D">
      <w:pPr>
        <w:numPr>
          <w:ilvl w:val="3"/>
          <w:numId w:val="7"/>
        </w:numPr>
        <w:suppressAutoHyphens/>
        <w:spacing w:after="0"/>
        <w:contextualSpacing/>
        <w:jc w:val="both"/>
      </w:pPr>
      <w:r>
        <w:t>cena brutto (C) – 90%;</w:t>
      </w:r>
    </w:p>
    <w:p w14:paraId="60BBBC9B" w14:textId="77777777" w:rsidR="00F0477D" w:rsidRDefault="00F0477D" w:rsidP="00F0477D">
      <w:pPr>
        <w:numPr>
          <w:ilvl w:val="3"/>
          <w:numId w:val="7"/>
        </w:numPr>
        <w:suppressAutoHyphens/>
        <w:spacing w:after="0"/>
        <w:contextualSpacing/>
        <w:jc w:val="both"/>
      </w:pPr>
      <w:r>
        <w:t>okres gwarancji (G) – 10%.</w:t>
      </w:r>
    </w:p>
    <w:p w14:paraId="1D3F817E" w14:textId="77777777" w:rsidR="00F0477D" w:rsidRDefault="00F0477D" w:rsidP="00F0477D">
      <w:pPr>
        <w:suppressAutoHyphens/>
        <w:spacing w:after="0"/>
        <w:ind w:left="714"/>
        <w:contextualSpacing/>
        <w:jc w:val="both"/>
      </w:pPr>
      <w:r>
        <w:t xml:space="preserve"> </w:t>
      </w:r>
    </w:p>
    <w:p w14:paraId="285789EE" w14:textId="77777777" w:rsidR="00F0477D" w:rsidRDefault="00F0477D" w:rsidP="00F0477D">
      <w:pPr>
        <w:numPr>
          <w:ilvl w:val="2"/>
          <w:numId w:val="7"/>
        </w:numPr>
        <w:suppressAutoHyphens/>
        <w:spacing w:after="0"/>
        <w:contextualSpacing/>
        <w:jc w:val="both"/>
      </w:pPr>
      <w:r>
        <w:t xml:space="preserve">W kategorii cena brutto (C) ocenianym ofertom zostanie przyznane maksymalnie 90 pkt, według następującego wzoru: </w:t>
      </w:r>
      <m:oMath>
        <m:r>
          <w:rPr>
            <w:rFonts w:ascii="Cambria Math" w:hAnsi="Cambria Math"/>
          </w:rPr>
          <m:t xml:space="preserve">C=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najniższa</m:t>
            </m:r>
          </m:num>
          <m:den>
            <m:r>
              <w:rPr>
                <w:rFonts w:ascii="Cambria Math" w:hAnsi="Cambria Math"/>
              </w:rPr>
              <m:t>cena badanej oferty</m:t>
            </m:r>
          </m:den>
        </m:f>
        <m:r>
          <w:rPr>
            <w:rFonts w:ascii="Cambria Math" w:hAnsi="Cambria Math"/>
          </w:rPr>
          <m:t>*90 pkt</m:t>
        </m:r>
      </m:oMath>
      <w:r>
        <w:rPr>
          <w:rFonts w:eastAsiaTheme="minorEastAsia"/>
        </w:rPr>
        <w:t>.</w:t>
      </w:r>
    </w:p>
    <w:p w14:paraId="41532A0E" w14:textId="77777777" w:rsidR="00F0477D" w:rsidRDefault="00F0477D" w:rsidP="00F0477D">
      <w:pPr>
        <w:numPr>
          <w:ilvl w:val="2"/>
          <w:numId w:val="7"/>
        </w:numPr>
        <w:suppressAutoHyphens/>
        <w:spacing w:after="0"/>
        <w:contextualSpacing/>
        <w:jc w:val="both"/>
      </w:pPr>
      <w:r>
        <w:t xml:space="preserve">W kategorii okres gwarancji (G) ocenianym ofertom zostanie przyznane maksymalnie 10 pkt, według następującego wzoru: </w:t>
      </w:r>
      <m:oMath>
        <m:r>
          <w:rPr>
            <w:rFonts w:ascii="Cambria Math" w:hAnsi="Cambria Math"/>
          </w:rPr>
          <m:t xml:space="preserve">G=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okres gwarancji badanej oferty -24</m:t>
            </m:r>
          </m:num>
          <m:den>
            <m:r>
              <w:rPr>
                <w:rFonts w:ascii="Cambria Math" w:hAnsi="Cambria Math"/>
              </w:rPr>
              <m:t>najdłuższy oferowany okres gwarancji - 36</m:t>
            </m:r>
          </m:den>
        </m:f>
        <m:r>
          <w:rPr>
            <w:rFonts w:ascii="Cambria Math" w:hAnsi="Cambria Math"/>
          </w:rPr>
          <m:t>*10 pkt</m:t>
        </m:r>
      </m:oMath>
      <w:r>
        <w:rPr>
          <w:rFonts w:eastAsiaTheme="minorEastAsia"/>
        </w:rPr>
        <w:t>,</w:t>
      </w:r>
      <w:r>
        <w:rPr>
          <w:rFonts w:eastAsiaTheme="minorEastAsia"/>
        </w:rPr>
        <w:br/>
        <w:t>z zastrzeżeniem że:</w:t>
      </w:r>
    </w:p>
    <w:p w14:paraId="2E813693" w14:textId="77777777" w:rsidR="00F0477D" w:rsidRDefault="00F0477D" w:rsidP="00F0477D">
      <w:pPr>
        <w:numPr>
          <w:ilvl w:val="3"/>
          <w:numId w:val="7"/>
        </w:numPr>
        <w:suppressAutoHyphens/>
        <w:spacing w:after="0"/>
        <w:contextualSpacing/>
        <w:jc w:val="both"/>
      </w:pPr>
      <w:r>
        <w:t>okres wyraża się w pełnych miesiącach;</w:t>
      </w:r>
    </w:p>
    <w:p w14:paraId="2E1776ED" w14:textId="77777777" w:rsidR="00F0477D" w:rsidRDefault="00F0477D" w:rsidP="00F0477D">
      <w:pPr>
        <w:numPr>
          <w:ilvl w:val="3"/>
          <w:numId w:val="7"/>
        </w:numPr>
        <w:suppressAutoHyphens/>
        <w:spacing w:after="0"/>
        <w:contextualSpacing/>
        <w:jc w:val="both"/>
      </w:pPr>
      <w:r>
        <w:rPr>
          <w:rFonts w:eastAsiaTheme="minorEastAsia"/>
        </w:rPr>
        <w:t>minimalny możliwy do zaoferowania okres gwarancji wynosi 24 miesięcy;</w:t>
      </w:r>
    </w:p>
    <w:p w14:paraId="553A2D8D" w14:textId="77777777" w:rsidR="00F0477D" w:rsidRDefault="00F0477D" w:rsidP="00F0477D">
      <w:pPr>
        <w:numPr>
          <w:ilvl w:val="3"/>
          <w:numId w:val="7"/>
        </w:numPr>
        <w:suppressAutoHyphens/>
        <w:spacing w:after="0"/>
        <w:contextualSpacing/>
        <w:jc w:val="both"/>
      </w:pPr>
      <w:r>
        <w:rPr>
          <w:rFonts w:eastAsiaTheme="minorEastAsia"/>
        </w:rPr>
        <w:t>w przypadku zaoferowania okresu gwarancji dłuższego lub równego 36 miesięcy:</w:t>
      </w:r>
    </w:p>
    <w:p w14:paraId="33F250B1" w14:textId="77777777" w:rsidR="00F0477D" w:rsidRDefault="00F0477D" w:rsidP="00F0477D">
      <w:pPr>
        <w:numPr>
          <w:ilvl w:val="4"/>
          <w:numId w:val="7"/>
        </w:numPr>
        <w:suppressAutoHyphens/>
        <w:spacing w:after="0"/>
        <w:contextualSpacing/>
        <w:jc w:val="both"/>
      </w:pPr>
      <w:r>
        <w:rPr>
          <w:rFonts w:eastAsiaTheme="minorEastAsia"/>
        </w:rPr>
        <w:t>Zamawiający na potrzeby oceny ofert przyjmie wartość 36 miesiące,</w:t>
      </w:r>
    </w:p>
    <w:p w14:paraId="720E614D" w14:textId="77777777" w:rsidR="00F0477D" w:rsidRDefault="00F0477D" w:rsidP="00F0477D">
      <w:pPr>
        <w:numPr>
          <w:ilvl w:val="4"/>
          <w:numId w:val="7"/>
        </w:numPr>
        <w:suppressAutoHyphens/>
        <w:spacing w:after="0"/>
        <w:contextualSpacing/>
        <w:jc w:val="both"/>
      </w:pPr>
      <w:r>
        <w:rPr>
          <w:rFonts w:eastAsiaTheme="minorEastAsia"/>
        </w:rPr>
        <w:t>oraz wybrania tej oferty jako najkorzystniejszej, przedmiot zamówienia będzie objęty gwarancją w pełnym okresie wskazanym przez Wykonawcę.</w:t>
      </w:r>
    </w:p>
    <w:p w14:paraId="2CB7C05C" w14:textId="77777777" w:rsidR="00F0477D" w:rsidRDefault="00F0477D" w:rsidP="00F0477D">
      <w:pPr>
        <w:numPr>
          <w:ilvl w:val="2"/>
          <w:numId w:val="7"/>
        </w:numPr>
        <w:suppressAutoHyphens/>
        <w:spacing w:after="0"/>
        <w:contextualSpacing/>
        <w:jc w:val="both"/>
      </w:pPr>
      <w:r>
        <w:t>Za najkorzystniejszą ofertę zostanie wybrana oferta z największą sumą punktów (C + G).</w:t>
      </w:r>
    </w:p>
    <w:p w14:paraId="205B46CA" w14:textId="77777777" w:rsidR="00F0477D" w:rsidRDefault="00F0477D" w:rsidP="00F0477D">
      <w:pPr>
        <w:numPr>
          <w:ilvl w:val="2"/>
          <w:numId w:val="7"/>
        </w:numPr>
        <w:suppressAutoHyphens/>
        <w:spacing w:after="0"/>
        <w:contextualSpacing/>
        <w:jc w:val="both"/>
      </w:pPr>
      <w:r>
        <w:t>Obliczenia dokonywane będą z dokładnością do dwóch miejsc po przecinku.</w:t>
      </w:r>
    </w:p>
    <w:p w14:paraId="68B78427" w14:textId="3D310D46" w:rsidR="00F0477D" w:rsidRDefault="00F0477D" w:rsidP="00F0477D">
      <w:pPr>
        <w:shd w:val="clear" w:color="auto" w:fill="D9D9D9" w:themeFill="background1" w:themeFillShade="D9"/>
        <w:suppressAutoHyphens/>
        <w:spacing w:before="360" w:after="0"/>
        <w:jc w:val="both"/>
        <w:rPr>
          <w:b/>
        </w:rPr>
      </w:pPr>
      <w:r>
        <w:rPr>
          <w:b/>
        </w:rPr>
        <w:t>X</w:t>
      </w:r>
      <w:r w:rsidR="00703A30">
        <w:rPr>
          <w:b/>
        </w:rPr>
        <w:t>III</w:t>
      </w:r>
      <w:r>
        <w:rPr>
          <w:b/>
        </w:rPr>
        <w:t xml:space="preserve"> POSTANOWIENIA KOŃCOWE</w:t>
      </w:r>
    </w:p>
    <w:p w14:paraId="6355C507" w14:textId="77777777" w:rsidR="00F0477D" w:rsidRDefault="00F0477D" w:rsidP="00F0477D">
      <w:pPr>
        <w:numPr>
          <w:ilvl w:val="2"/>
          <w:numId w:val="8"/>
        </w:numPr>
        <w:suppressAutoHyphens/>
        <w:spacing w:after="0"/>
        <w:contextualSpacing/>
        <w:jc w:val="both"/>
      </w:pPr>
      <w:r>
        <w:t>Zamawiający zastrzega sobie możliwość unieważnienia postępowania bez podania przyczyny.</w:t>
      </w:r>
    </w:p>
    <w:p w14:paraId="6C7476DB" w14:textId="77777777" w:rsidR="00F0477D" w:rsidRDefault="00F0477D" w:rsidP="00F0477D">
      <w:pPr>
        <w:numPr>
          <w:ilvl w:val="2"/>
          <w:numId w:val="8"/>
        </w:numPr>
        <w:suppressAutoHyphens/>
        <w:spacing w:after="0"/>
        <w:contextualSpacing/>
        <w:jc w:val="both"/>
      </w:pPr>
      <w:r>
        <w:t>Zamawiający zastrzega sobie prawo do poprawienia:</w:t>
      </w:r>
    </w:p>
    <w:p w14:paraId="4B009D2E" w14:textId="77777777" w:rsidR="00F0477D" w:rsidRDefault="00F0477D" w:rsidP="00F0477D">
      <w:pPr>
        <w:numPr>
          <w:ilvl w:val="3"/>
          <w:numId w:val="8"/>
        </w:numPr>
        <w:suppressAutoHyphens/>
        <w:spacing w:after="0"/>
        <w:contextualSpacing/>
        <w:jc w:val="both"/>
      </w:pPr>
      <w:r>
        <w:t>oczywistej omyłki rachunkowej z uwzględnieniem konsekwencji rachunkowej dokonywanych poprawek;</w:t>
      </w:r>
    </w:p>
    <w:p w14:paraId="719ABDA8" w14:textId="77777777" w:rsidR="00F0477D" w:rsidRDefault="00F0477D" w:rsidP="00F0477D">
      <w:pPr>
        <w:numPr>
          <w:ilvl w:val="3"/>
          <w:numId w:val="8"/>
        </w:numPr>
        <w:suppressAutoHyphens/>
        <w:spacing w:after="0"/>
        <w:contextualSpacing/>
        <w:jc w:val="both"/>
      </w:pPr>
      <w:r>
        <w:t>oczywistej omyłki pisarskiej.</w:t>
      </w:r>
    </w:p>
    <w:p w14:paraId="586ACEF7" w14:textId="77777777" w:rsidR="00F0477D" w:rsidRDefault="00F0477D" w:rsidP="00F0477D">
      <w:pPr>
        <w:numPr>
          <w:ilvl w:val="2"/>
          <w:numId w:val="8"/>
        </w:numPr>
        <w:suppressAutoHyphens/>
        <w:spacing w:after="0"/>
        <w:contextualSpacing/>
        <w:jc w:val="both"/>
      </w:pPr>
      <w:r>
        <w:t>W przypadku, gdy treść oferty lub złożonych dokumentów jest niepełna lub budzi wątpliwości, Zamawiający, w uzasadnionych przypadkach, zwróci się do Wykonawcy o uzupełnienie dokumentów lub udzielenie wyjaśnień w wyznaczonym terminie.</w:t>
      </w:r>
    </w:p>
    <w:p w14:paraId="1492BA2B" w14:textId="77777777" w:rsidR="00F0477D" w:rsidRDefault="00F0477D" w:rsidP="00F0477D">
      <w:pPr>
        <w:numPr>
          <w:ilvl w:val="2"/>
          <w:numId w:val="8"/>
        </w:numPr>
        <w:suppressAutoHyphens/>
        <w:spacing w:after="0"/>
        <w:contextualSpacing/>
        <w:jc w:val="both"/>
      </w:pPr>
      <w:r>
        <w:t>W przypadku, gdy wybrany Wykonawca odstąpi od zawarcia umowy lub będzie zwlekać</w:t>
      </w:r>
      <w:r>
        <w:br/>
        <w:t>z podpisaniem umowy, Zamawiający zastrzega sobie prawo do zawarcia umowy z kolejnym Wykonawcą, którego oferta została najwyżej oceniona.</w:t>
      </w:r>
    </w:p>
    <w:p w14:paraId="5BFCAE54" w14:textId="1DD71225" w:rsidR="00F0477D" w:rsidRDefault="00F0477D" w:rsidP="00F0477D">
      <w:pPr>
        <w:shd w:val="clear" w:color="auto" w:fill="D9D9D9" w:themeFill="background1" w:themeFillShade="D9"/>
        <w:suppressAutoHyphens/>
        <w:spacing w:before="360" w:after="0"/>
        <w:jc w:val="both"/>
        <w:rPr>
          <w:b/>
        </w:rPr>
      </w:pPr>
      <w:r>
        <w:rPr>
          <w:b/>
        </w:rPr>
        <w:t>XI</w:t>
      </w:r>
      <w:r w:rsidR="00703A30">
        <w:rPr>
          <w:b/>
        </w:rPr>
        <w:t>V</w:t>
      </w:r>
      <w:r>
        <w:rPr>
          <w:b/>
        </w:rPr>
        <w:t xml:space="preserve"> ZAŁĄCZNIKI DO ZAPYTANIA OFERTOWEGO</w:t>
      </w:r>
    </w:p>
    <w:p w14:paraId="07B8BAE4" w14:textId="3FEA2AAF" w:rsidR="00F0477D" w:rsidRDefault="00F0477D" w:rsidP="00F0477D">
      <w:pPr>
        <w:suppressAutoHyphens/>
        <w:spacing w:after="0"/>
        <w:ind w:left="2127" w:hanging="2127"/>
        <w:jc w:val="both"/>
      </w:pPr>
      <w:r>
        <w:t>Załącznik nr 1</w:t>
      </w:r>
      <w:r>
        <w:tab/>
        <w:t>– Formularz oferty</w:t>
      </w:r>
    </w:p>
    <w:p w14:paraId="157441A3" w14:textId="6459021E" w:rsidR="00703A30" w:rsidRDefault="00703A30" w:rsidP="00F0477D">
      <w:pPr>
        <w:suppressAutoHyphens/>
        <w:spacing w:after="0"/>
        <w:ind w:left="2127" w:hanging="2127"/>
        <w:jc w:val="both"/>
      </w:pPr>
      <w:r>
        <w:t>Załącznik nr 2</w:t>
      </w:r>
      <w:r>
        <w:tab/>
        <w:t>– Formularz cenowy</w:t>
      </w:r>
    </w:p>
    <w:p w14:paraId="54E65F4B" w14:textId="05BCA1FA" w:rsidR="00F0477D" w:rsidRDefault="00F0477D" w:rsidP="00F0477D">
      <w:pPr>
        <w:suppressAutoHyphens/>
        <w:spacing w:after="0"/>
        <w:ind w:left="2127" w:hanging="2127"/>
        <w:jc w:val="both"/>
      </w:pPr>
      <w:r>
        <w:t xml:space="preserve">Załącznik nr </w:t>
      </w:r>
      <w:r w:rsidR="00703A30">
        <w:t>3</w:t>
      </w:r>
      <w:r>
        <w:tab/>
        <w:t xml:space="preserve">– </w:t>
      </w:r>
      <w:r w:rsidR="009A3988">
        <w:t>P</w:t>
      </w:r>
      <w:r>
        <w:t>rzedmiar prac adaptacyjnych w budynku przy ul. Lokajskiego 3</w:t>
      </w:r>
    </w:p>
    <w:p w14:paraId="24E2AF5E" w14:textId="5256B6D7" w:rsidR="00F0477D" w:rsidRDefault="00F0477D" w:rsidP="00F0477D">
      <w:pPr>
        <w:suppressAutoHyphens/>
        <w:spacing w:after="0"/>
        <w:ind w:left="2127" w:hanging="2127"/>
        <w:jc w:val="both"/>
      </w:pPr>
      <w:r>
        <w:t xml:space="preserve">Załącznik nr </w:t>
      </w:r>
      <w:r w:rsidR="00703A30">
        <w:t>4</w:t>
      </w:r>
      <w:r>
        <w:tab/>
        <w:t>– Wzór umowy</w:t>
      </w:r>
    </w:p>
    <w:p w14:paraId="276E6AF0" w14:textId="2060BEE4" w:rsidR="00F0477D" w:rsidRDefault="00F0477D" w:rsidP="00F0477D">
      <w:pPr>
        <w:suppressAutoHyphens/>
        <w:spacing w:after="480"/>
        <w:ind w:left="2126" w:hanging="2126"/>
        <w:jc w:val="both"/>
      </w:pPr>
      <w:r>
        <w:t xml:space="preserve">Załącznik nr </w:t>
      </w:r>
      <w:r w:rsidR="00703A30">
        <w:t>5</w:t>
      </w:r>
      <w:r>
        <w:tab/>
        <w:t>– Klauzula informacyjna o przetwarzaniu danych osobowych dla Wykonawcy</w:t>
      </w:r>
    </w:p>
    <w:p w14:paraId="30822D91" w14:textId="2DA3D809" w:rsidR="002A2011" w:rsidRPr="0031782B" w:rsidRDefault="00F0477D" w:rsidP="0031782B">
      <w:pPr>
        <w:suppressAutoHyphens/>
        <w:spacing w:after="1080"/>
        <w:ind w:left="4536"/>
        <w:jc w:val="center"/>
        <w:rPr>
          <w:b/>
        </w:rPr>
      </w:pPr>
      <w:r>
        <w:rPr>
          <w:b/>
        </w:rPr>
        <w:t>ZATWIERDZAM:</w:t>
      </w:r>
    </w:p>
    <w:sectPr w:rsidR="002A2011" w:rsidRPr="00317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2126" w16cex:dateUtc="2022-10-06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66D5" w14:textId="77777777" w:rsidR="004176DE" w:rsidRDefault="004176DE" w:rsidP="00D35AE9">
      <w:pPr>
        <w:spacing w:after="0" w:line="240" w:lineRule="auto"/>
      </w:pPr>
      <w:r>
        <w:separator/>
      </w:r>
    </w:p>
  </w:endnote>
  <w:endnote w:type="continuationSeparator" w:id="0">
    <w:p w14:paraId="225ADF16" w14:textId="77777777" w:rsidR="004176DE" w:rsidRDefault="004176DE" w:rsidP="00D3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3E3D" w14:textId="77777777" w:rsidR="00052B99" w:rsidRDefault="00052B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8CD9" w14:textId="77777777" w:rsidR="00052B99" w:rsidRDefault="00052B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FF35" w14:textId="77777777" w:rsidR="00052B99" w:rsidRDefault="00052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ADA90" w14:textId="77777777" w:rsidR="004176DE" w:rsidRDefault="004176DE" w:rsidP="00D35AE9">
      <w:pPr>
        <w:spacing w:after="0" w:line="240" w:lineRule="auto"/>
      </w:pPr>
      <w:r>
        <w:separator/>
      </w:r>
    </w:p>
  </w:footnote>
  <w:footnote w:type="continuationSeparator" w:id="0">
    <w:p w14:paraId="2FE49514" w14:textId="77777777" w:rsidR="004176DE" w:rsidRDefault="004176DE" w:rsidP="00D3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5AC4" w14:textId="77777777" w:rsidR="00052B99" w:rsidRDefault="00052B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33F5" w14:textId="622C0E22" w:rsidR="00D35AE9" w:rsidRDefault="00D35AE9" w:rsidP="00D35AE9">
    <w:pPr>
      <w:pStyle w:val="Nagwek"/>
    </w:pPr>
    <w:r>
      <w:t xml:space="preserve">Znak sprawy: </w:t>
    </w:r>
    <w:r w:rsidR="00052B99">
      <w:t>PPP19.211.1.2022</w:t>
    </w:r>
  </w:p>
  <w:p w14:paraId="12AC13F3" w14:textId="09A67331" w:rsidR="00D35AE9" w:rsidRDefault="00D35AE9" w:rsidP="00052B99">
    <w:pPr>
      <w:pStyle w:val="Tekstpodstawowy"/>
      <w:jc w:val="right"/>
    </w:pPr>
    <w:bookmarkStart w:id="1" w:name="_GoBack"/>
    <w:bookmarkEnd w:id="1"/>
    <w:r>
      <w:t>Data:</w:t>
    </w:r>
    <w:r w:rsidR="00052B99">
      <w:t>18.10.2022</w:t>
    </w:r>
  </w:p>
  <w:p w14:paraId="76637A9E" w14:textId="77777777" w:rsidR="00D35AE9" w:rsidRDefault="00D35A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12B5" w14:textId="77777777" w:rsidR="00052B99" w:rsidRDefault="00052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</w:lvl>
    <w:lvl w:ilvl="1">
      <w:start w:val="1"/>
      <w:numFmt w:val="upperLetter"/>
      <w:lvlText w:val="%2."/>
      <w:lvlJc w:val="left"/>
      <w:pPr>
        <w:ind w:left="357" w:hanging="357"/>
      </w:pPr>
    </w:lvl>
    <w:lvl w:ilvl="2">
      <w:start w:val="1"/>
      <w:numFmt w:val="decimal"/>
      <w:lvlText w:val="%3."/>
      <w:lvlJc w:val="left"/>
      <w:pPr>
        <w:ind w:left="357" w:hanging="35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</w:lvl>
    <w:lvl w:ilvl="4">
      <w:start w:val="1"/>
      <w:numFmt w:val="lowerLetter"/>
      <w:lvlText w:val="%5)"/>
      <w:lvlJc w:val="left"/>
      <w:pPr>
        <w:ind w:left="1072" w:hanging="358"/>
      </w:pPr>
    </w:lvl>
    <w:lvl w:ilvl="5">
      <w:start w:val="1"/>
      <w:numFmt w:val="none"/>
      <w:lvlText w:val="-"/>
      <w:lvlJc w:val="left"/>
      <w:pPr>
        <w:ind w:left="1429" w:hanging="357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05359"/>
    <w:multiLevelType w:val="multilevel"/>
    <w:tmpl w:val="7CFEAD98"/>
    <w:lvl w:ilvl="0">
      <w:start w:val="1"/>
      <w:numFmt w:val="decimal"/>
      <w:lvlText w:val="%1"/>
      <w:lvlJc w:val="left"/>
      <w:pPr>
        <w:tabs>
          <w:tab w:val="num" w:pos="0"/>
        </w:tabs>
        <w:ind w:left="357" w:hanging="357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14" w:hanging="35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72" w:hanging="35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14650C8D"/>
    <w:multiLevelType w:val="multilevel"/>
    <w:tmpl w:val="7CFEAD98"/>
    <w:lvl w:ilvl="0">
      <w:start w:val="1"/>
      <w:numFmt w:val="decimal"/>
      <w:lvlText w:val="%1"/>
      <w:lvlJc w:val="left"/>
      <w:pPr>
        <w:tabs>
          <w:tab w:val="num" w:pos="0"/>
        </w:tabs>
        <w:ind w:left="357" w:hanging="357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14" w:hanging="35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72" w:hanging="35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5A80CBE"/>
    <w:multiLevelType w:val="multilevel"/>
    <w:tmpl w:val="7CFEAD98"/>
    <w:lvl w:ilvl="0">
      <w:start w:val="1"/>
      <w:numFmt w:val="decimal"/>
      <w:lvlText w:val="%1"/>
      <w:lvlJc w:val="left"/>
      <w:pPr>
        <w:tabs>
          <w:tab w:val="num" w:pos="0"/>
        </w:tabs>
        <w:ind w:left="357" w:hanging="357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14" w:hanging="35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72" w:hanging="35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5D425D0"/>
    <w:multiLevelType w:val="multilevel"/>
    <w:tmpl w:val="7CFEAD98"/>
    <w:lvl w:ilvl="0">
      <w:start w:val="1"/>
      <w:numFmt w:val="decimal"/>
      <w:lvlText w:val="%1"/>
      <w:lvlJc w:val="left"/>
      <w:pPr>
        <w:tabs>
          <w:tab w:val="num" w:pos="0"/>
        </w:tabs>
        <w:ind w:left="357" w:hanging="357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14" w:hanging="35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72" w:hanging="35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273F5EC6"/>
    <w:multiLevelType w:val="multilevel"/>
    <w:tmpl w:val="7CFEAD98"/>
    <w:lvl w:ilvl="0">
      <w:start w:val="1"/>
      <w:numFmt w:val="decimal"/>
      <w:lvlText w:val="%1"/>
      <w:lvlJc w:val="left"/>
      <w:pPr>
        <w:tabs>
          <w:tab w:val="num" w:pos="0"/>
        </w:tabs>
        <w:ind w:left="357" w:hanging="357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14" w:hanging="35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72" w:hanging="35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2CE92958"/>
    <w:multiLevelType w:val="multilevel"/>
    <w:tmpl w:val="A2BA665C"/>
    <w:lvl w:ilvl="0">
      <w:start w:val="6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462B90"/>
    <w:multiLevelType w:val="multilevel"/>
    <w:tmpl w:val="7CFEAD98"/>
    <w:lvl w:ilvl="0">
      <w:start w:val="1"/>
      <w:numFmt w:val="decimal"/>
      <w:lvlText w:val="%1"/>
      <w:lvlJc w:val="left"/>
      <w:pPr>
        <w:tabs>
          <w:tab w:val="num" w:pos="0"/>
        </w:tabs>
        <w:ind w:left="357" w:hanging="357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14" w:hanging="35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72" w:hanging="35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45A57FFD"/>
    <w:multiLevelType w:val="multilevel"/>
    <w:tmpl w:val="7CFEAD98"/>
    <w:lvl w:ilvl="0">
      <w:start w:val="1"/>
      <w:numFmt w:val="decimal"/>
      <w:lvlText w:val="%1"/>
      <w:lvlJc w:val="left"/>
      <w:pPr>
        <w:tabs>
          <w:tab w:val="num" w:pos="0"/>
        </w:tabs>
        <w:ind w:left="357" w:hanging="357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14" w:hanging="35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72" w:hanging="35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55"/>
    <w:rsid w:val="00052B99"/>
    <w:rsid w:val="00147560"/>
    <w:rsid w:val="001A5955"/>
    <w:rsid w:val="002F22D2"/>
    <w:rsid w:val="0031782B"/>
    <w:rsid w:val="004176DE"/>
    <w:rsid w:val="00703A30"/>
    <w:rsid w:val="0080584D"/>
    <w:rsid w:val="009A3988"/>
    <w:rsid w:val="00B16AC1"/>
    <w:rsid w:val="00D35AE9"/>
    <w:rsid w:val="00DF6827"/>
    <w:rsid w:val="00F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CD42"/>
  <w15:chartTrackingRefBased/>
  <w15:docId w15:val="{8A79BBCB-8BFF-42D7-9115-9BFA7835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77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77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047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77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35AE9"/>
  </w:style>
  <w:style w:type="paragraph" w:styleId="Stopka">
    <w:name w:val="footer"/>
    <w:basedOn w:val="Normalny"/>
    <w:link w:val="StopkaZnak"/>
    <w:uiPriority w:val="99"/>
    <w:unhideWhenUsed/>
    <w:rsid w:val="00D3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E9"/>
  </w:style>
  <w:style w:type="paragraph" w:styleId="Tekstpodstawowy">
    <w:name w:val="Body Text"/>
    <w:basedOn w:val="Normalny"/>
    <w:link w:val="TekstpodstawowyZnak"/>
    <w:rsid w:val="00D35AE9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35AE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Aleksandra Sadren</cp:lastModifiedBy>
  <cp:revision>4</cp:revision>
  <dcterms:created xsi:type="dcterms:W3CDTF">2022-10-18T07:27:00Z</dcterms:created>
  <dcterms:modified xsi:type="dcterms:W3CDTF">2022-10-18T09:43:00Z</dcterms:modified>
</cp:coreProperties>
</file>